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80FD" w14:textId="77777777" w:rsidR="00581679" w:rsidRPr="005B420F" w:rsidRDefault="00581679" w:rsidP="00581679">
      <w:pPr>
        <w:tabs>
          <w:tab w:val="right" w:pos="90"/>
        </w:tabs>
        <w:spacing w:before="120" w:after="120"/>
        <w:jc w:val="center"/>
        <w:rPr>
          <w:rFonts w:ascii="Simplified Arabic" w:hAnsi="Simplified Arabic" w:cs="Simplified Arabic"/>
          <w:b/>
          <w:bCs/>
          <w:sz w:val="28"/>
          <w:szCs w:val="28"/>
        </w:rPr>
      </w:pPr>
      <w:r w:rsidRPr="005B420F">
        <w:rPr>
          <w:rFonts w:ascii="Simplified Arabic" w:hAnsi="Simplified Arabic" w:cs="Simplified Arabic"/>
          <w:b/>
          <w:bCs/>
          <w:sz w:val="28"/>
          <w:szCs w:val="28"/>
          <w:rtl/>
        </w:rPr>
        <w:t>العدوان الحربي الإسرائيلي على الأرض الفلسطينية المحتلة</w:t>
      </w:r>
    </w:p>
    <w:p w14:paraId="45DC3FC7" w14:textId="683D1C22" w:rsidR="00581679" w:rsidRPr="005B420F" w:rsidRDefault="00581679" w:rsidP="00581679">
      <w:pPr>
        <w:tabs>
          <w:tab w:val="right" w:pos="90"/>
        </w:tabs>
        <w:spacing w:before="120" w:after="120"/>
        <w:jc w:val="center"/>
        <w:rPr>
          <w:rFonts w:ascii="Simplified Arabic" w:hAnsi="Simplified Arabic" w:cs="Simplified Arabic"/>
          <w:b/>
          <w:bCs/>
          <w:sz w:val="28"/>
          <w:szCs w:val="28"/>
        </w:rPr>
      </w:pPr>
      <w:bookmarkStart w:id="0" w:name="_GoBack"/>
      <w:r w:rsidRPr="005B420F">
        <w:rPr>
          <w:rFonts w:ascii="Simplified Arabic" w:hAnsi="Simplified Arabic" w:cs="Simplified Arabic"/>
          <w:b/>
          <w:bCs/>
          <w:sz w:val="28"/>
          <w:szCs w:val="28"/>
          <w:rtl/>
        </w:rPr>
        <w:t xml:space="preserve">النشرة اليومية </w:t>
      </w:r>
      <w:r w:rsidRPr="005B420F">
        <w:rPr>
          <w:rFonts w:ascii="Simplified Arabic" w:hAnsi="Simplified Arabic" w:cs="Simplified Arabic"/>
          <w:b/>
          <w:bCs/>
          <w:sz w:val="28"/>
          <w:szCs w:val="28"/>
          <w:rtl/>
          <w:lang w:bidi="ar-JO"/>
        </w:rPr>
        <w:t>91</w:t>
      </w:r>
    </w:p>
    <w:bookmarkEnd w:id="0"/>
    <w:p w14:paraId="2D879547" w14:textId="77777777" w:rsidR="00581679" w:rsidRPr="005B420F" w:rsidRDefault="00581679" w:rsidP="00581679">
      <w:pPr>
        <w:tabs>
          <w:tab w:val="right" w:pos="90"/>
        </w:tabs>
        <w:spacing w:before="120" w:after="120"/>
        <w:jc w:val="center"/>
        <w:rPr>
          <w:rFonts w:ascii="Simplified Arabic" w:hAnsi="Simplified Arabic" w:cs="Simplified Arabic"/>
          <w:b/>
          <w:bCs/>
          <w:sz w:val="28"/>
          <w:szCs w:val="28"/>
          <w:rtl/>
        </w:rPr>
      </w:pPr>
      <w:r w:rsidRPr="005B420F">
        <w:rPr>
          <w:rFonts w:ascii="Simplified Arabic" w:hAnsi="Simplified Arabic" w:cs="Simplified Arabic"/>
          <w:b/>
          <w:bCs/>
          <w:sz w:val="28"/>
          <w:szCs w:val="28"/>
          <w:rtl/>
        </w:rPr>
        <w:t>(08/ كانون الثاني/2024)</w:t>
      </w:r>
      <w:bookmarkStart w:id="1" w:name="_Hlk149635447"/>
      <w:bookmarkStart w:id="2" w:name="_Hlk151188096"/>
      <w:bookmarkStart w:id="3" w:name="_Hlk151983223"/>
      <w:bookmarkStart w:id="4" w:name="_Hlk152832347"/>
      <w:bookmarkStart w:id="5" w:name="_Hlk153957178"/>
    </w:p>
    <w:p w14:paraId="4576926B" w14:textId="77777777" w:rsidR="00581679" w:rsidRPr="005B420F" w:rsidRDefault="00581679" w:rsidP="00581679">
      <w:pPr>
        <w:tabs>
          <w:tab w:val="right" w:pos="90"/>
        </w:tabs>
        <w:spacing w:before="120" w:after="120"/>
        <w:jc w:val="both"/>
        <w:rPr>
          <w:rFonts w:ascii="Simplified Arabic" w:hAnsi="Simplified Arabic" w:cs="Simplified Arabic"/>
          <w:b/>
          <w:bCs/>
          <w:sz w:val="28"/>
          <w:szCs w:val="28"/>
          <w:rtl/>
        </w:rPr>
      </w:pPr>
      <w:r w:rsidRPr="005B420F">
        <w:rPr>
          <w:rFonts w:ascii="Simplified Arabic" w:hAnsi="Simplified Arabic" w:cs="Simplified Arabic"/>
          <w:b/>
          <w:bCs/>
          <w:sz w:val="28"/>
          <w:szCs w:val="28"/>
          <w:rtl/>
        </w:rPr>
        <w:t>ملخص</w:t>
      </w:r>
      <w:bookmarkEnd w:id="1"/>
      <w:r w:rsidRPr="005B420F">
        <w:rPr>
          <w:rFonts w:ascii="Simplified Arabic" w:hAnsi="Simplified Arabic" w:cs="Simplified Arabic"/>
          <w:sz w:val="28"/>
          <w:szCs w:val="28"/>
          <w:rtl/>
        </w:rPr>
        <w:t xml:space="preserve"> </w:t>
      </w:r>
      <w:bookmarkEnd w:id="2"/>
      <w:bookmarkEnd w:id="3"/>
      <w:bookmarkEnd w:id="4"/>
      <w:bookmarkEnd w:id="5"/>
    </w:p>
    <w:p w14:paraId="70DBF39A"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لليوم الرابع والتسعين على التوالي تواصل القوة القائمة بالاحتلال "إسرائيل" قصفها العنيف لقطاع غزة، مستهدفة المدنيين والاعيان المدنية، بما فيها المستشفيات، وأماكن النزوح.</w:t>
      </w:r>
    </w:p>
    <w:p w14:paraId="411D47E4"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 xml:space="preserve">استمرت "إسرائيل" باستهدافها للمنظومة الصحية، وقصفت المستشفى الأوروبي في خانيونس، واستمرت في قصفها لمستشفى الأقصى في دير البلح، مما أجبر الطاقم الطبي والمرضى على إخلاءه. </w:t>
      </w:r>
    </w:p>
    <w:p w14:paraId="1B5BD3DE"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 xml:space="preserve">هناك توقف شبه كامل للعمليات الإنسانية في دير البلح مع إصدار أوامر إخلاء جديدة للمنشآت الحيوية المتعددة، بما في ذلك المستودعات ومراكز التوزيع والمراكز الصحية والملاجئ. </w:t>
      </w:r>
    </w:p>
    <w:p w14:paraId="2CDB9D8D"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00380304"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tl/>
        </w:rPr>
      </w:pPr>
      <w:r w:rsidRPr="005B420F">
        <w:rPr>
          <w:rFonts w:ascii="Simplified Arabic" w:hAnsi="Simplified Arabic" w:cs="Simplified Arabic"/>
          <w:sz w:val="28"/>
          <w:szCs w:val="28"/>
          <w:rtl/>
        </w:rPr>
        <w:t>نتيجة للقف العنيف اضطرت المخابز التي تدعمها الأمم المتحدة والشركاء في المجال الإنساني وعددها (6) مخابز إلى إيقاف عملها في دير البلح.</w:t>
      </w:r>
    </w:p>
    <w:p w14:paraId="7FD86D4B"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يواجه الأطفال سوء تغذية حادًا وشديدًا في قطاع غزة، وقد يعاني مئات الآلاف من الأطفال الصغار قريباً من سوء التغذية الحاد، مع تعرض بعضهم لخطر الموت. "اليونيسيف"</w:t>
      </w:r>
    </w:p>
    <w:p w14:paraId="2CE5C2F8"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يتعرض النساء الحوامل والمرضعات لخطر سوء التغذية الشديد حيث أن (90%) منهن يستهلكن مجموعة غذائية واحدة أو مجموعتين غذائيتين فقط. "اليونيسيف"</w:t>
      </w:r>
    </w:p>
    <w:p w14:paraId="05757B8A"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07110FA3"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3491A407"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تم تهجير ما مجموعه (444) فلسطينيًا، من بينهم (224) طفلاً، بعد هدم منازلهم بسبب عدم وجود تصاريح إسرائيلية في المنطقة (ج) والقدس الشرقية.</w:t>
      </w:r>
    </w:p>
    <w:p w14:paraId="524E62C7"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lastRenderedPageBreak/>
        <w:t>تم هدم ما مجموعه (19) منزلاً لأسباب عقابية (عقاب جماعي) مما أدى إلى تهجير (95) فلسطينياً، من بينهم (42) طفلاً.</w:t>
      </w:r>
    </w:p>
    <w:p w14:paraId="24305C03"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تم تهجير (537) فلسطينياً، من بينهم (238) طفلاً، بعد تدمير (82) مبنى سكنياً خلال عمليات الاقتحام الذي يقوم بها جيش الاحتلال في مختلف أنحاء الضفة الغربية.</w:t>
      </w:r>
    </w:p>
    <w:p w14:paraId="6E46B242" w14:textId="77777777" w:rsidR="00581679" w:rsidRPr="005B420F" w:rsidRDefault="00581679" w:rsidP="00581679">
      <w:pPr>
        <w:numPr>
          <w:ilvl w:val="0"/>
          <w:numId w:val="9"/>
        </w:numPr>
        <w:tabs>
          <w:tab w:val="right" w:pos="90"/>
        </w:tabs>
        <w:spacing w:before="120" w:after="12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يستمر عنف المستوطنين في مختلف أنحاء الضفة الغربية، وتم تسجل أكثر من (386) هجوماً شنها المستوطنون ضد السكان الفلسطينيين بحماية و/أو بمشاركة جيش الاحتلال.</w:t>
      </w:r>
    </w:p>
    <w:p w14:paraId="29317FA5" w14:textId="77777777" w:rsidR="00581679" w:rsidRPr="005B420F" w:rsidRDefault="00581679" w:rsidP="00581679">
      <w:pPr>
        <w:tabs>
          <w:tab w:val="right" w:pos="90"/>
        </w:tabs>
        <w:spacing w:before="120" w:after="120"/>
        <w:contextualSpacing/>
        <w:jc w:val="both"/>
        <w:rPr>
          <w:rFonts w:ascii="Simplified Arabic" w:hAnsi="Simplified Arabic" w:cs="Simplified Arabic"/>
          <w:sz w:val="28"/>
          <w:szCs w:val="28"/>
          <w:rtl/>
        </w:rPr>
      </w:pPr>
      <w:r w:rsidRPr="005B420F">
        <w:rPr>
          <w:rFonts w:ascii="Simplified Arabic" w:hAnsi="Simplified Arabic" w:cs="Simplified Arabic"/>
          <w:b/>
          <w:bCs/>
          <w:sz w:val="28"/>
          <w:szCs w:val="28"/>
          <w:rtl/>
        </w:rPr>
        <w:t>التفاصيل</w:t>
      </w:r>
    </w:p>
    <w:p w14:paraId="6AFAA58B" w14:textId="77777777" w:rsidR="00581679" w:rsidRPr="005B420F" w:rsidRDefault="00581679" w:rsidP="00581679">
      <w:pPr>
        <w:spacing w:before="120" w:after="120"/>
        <w:jc w:val="both"/>
        <w:rPr>
          <w:rFonts w:ascii="Simplified Arabic" w:hAnsi="Simplified Arabic" w:cs="Simplified Arabic"/>
          <w:sz w:val="28"/>
          <w:szCs w:val="28"/>
          <w:rtl/>
        </w:rPr>
      </w:pPr>
      <w:bookmarkStart w:id="6" w:name="_Hlk152228732"/>
      <w:r w:rsidRPr="005B420F">
        <w:rPr>
          <w:rFonts w:ascii="Simplified Arabic" w:hAnsi="Simplified Arabic" w:cs="Simplified Arabic"/>
          <w:sz w:val="28"/>
          <w:szCs w:val="28"/>
          <w:rtl/>
        </w:rPr>
        <w:t>لليوم الرابع والتسعين تواصل "إسرائيل" قصفها العنيف والمكثف، براً وبحراً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 كما قام جيش الاحتلال بنبش القبور في مقبرة حي التفاح في مدينة غزة، وسرق قرابة (150) جثماناً من الجثامين المدفونة حديثاً.</w:t>
      </w:r>
    </w:p>
    <w:p w14:paraId="2CADC613"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وانهيار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2194950E"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7" w:name="_Hlk155167876"/>
      <w:r w:rsidRPr="005B420F">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7"/>
    <w:p w14:paraId="5C26FEDE"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w:t>
      </w:r>
      <w:r w:rsidRPr="005B420F">
        <w:rPr>
          <w:rFonts w:ascii="Simplified Arabic" w:hAnsi="Simplified Arabic" w:cs="Simplified Arabic"/>
          <w:sz w:val="28"/>
          <w:szCs w:val="28"/>
          <w:rtl/>
        </w:rPr>
        <w:lastRenderedPageBreak/>
        <w:t xml:space="preserve">شخص في منطقة مكتظة للغاية، </w:t>
      </w:r>
      <w:bookmarkStart w:id="8" w:name="_Hlk155167667"/>
      <w:r w:rsidRPr="005B420F">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8"/>
    <w:p w14:paraId="5F0C811C" w14:textId="77777777" w:rsidR="00581679" w:rsidRPr="005B420F" w:rsidRDefault="00581679" w:rsidP="00581679">
      <w:pPr>
        <w:spacing w:before="120" w:after="120"/>
        <w:contextualSpacing/>
        <w:jc w:val="both"/>
        <w:rPr>
          <w:rFonts w:ascii="Simplified Arabic" w:hAnsi="Simplified Arabic" w:cs="Simplified Arabic"/>
          <w:sz w:val="28"/>
          <w:szCs w:val="28"/>
          <w:rtl/>
        </w:rPr>
      </w:pPr>
      <w:r w:rsidRPr="005B420F">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5B420F">
        <w:rPr>
          <w:rFonts w:ascii="Simplified Arabic" w:hAnsi="Simplified Arabic" w:cs="Simplified Arabic"/>
          <w:sz w:val="28"/>
          <w:szCs w:val="28"/>
          <w:vertAlign w:val="superscript"/>
          <w:rtl/>
        </w:rPr>
        <w:footnoteReference w:id="1"/>
      </w:r>
      <w:r w:rsidRPr="005B420F">
        <w:rPr>
          <w:rFonts w:ascii="Simplified Arabic" w:hAnsi="Simplified Arabic" w:cs="Simplified Arabic"/>
          <w:sz w:val="28"/>
          <w:szCs w:val="28"/>
          <w:rtl/>
        </w:rPr>
        <w:t>.</w:t>
      </w:r>
      <w:bookmarkEnd w:id="6"/>
      <w:r w:rsidRPr="005B420F">
        <w:rPr>
          <w:rFonts w:ascii="Simplified Arabic" w:hAnsi="Simplified Arabic" w:cs="Simplified Arabic"/>
          <w:sz w:val="28"/>
          <w:szCs w:val="28"/>
          <w:rtl/>
        </w:rPr>
        <w:t xml:space="preserve">  </w:t>
      </w:r>
    </w:p>
    <w:p w14:paraId="7DC1EFAD" w14:textId="77777777" w:rsidR="00581679" w:rsidRPr="005B420F" w:rsidRDefault="00581679" w:rsidP="00581679">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5B420F">
        <w:rPr>
          <w:rFonts w:ascii="Simplified Arabic" w:hAnsi="Simplified Arabic" w:cs="Simplified Arabic"/>
          <w:b/>
          <w:bCs/>
          <w:sz w:val="28"/>
          <w:szCs w:val="28"/>
          <w:rtl/>
        </w:rPr>
        <w:t>الضحايا</w:t>
      </w:r>
    </w:p>
    <w:p w14:paraId="1414BE41" w14:textId="77777777" w:rsidR="00581679" w:rsidRPr="005B420F" w:rsidRDefault="00581679" w:rsidP="00581679">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5B420F">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(23,084) شهيداً/ة، منهم (10</w:t>
      </w:r>
      <w:r>
        <w:rPr>
          <w:rFonts w:ascii="Simplified Arabic" w:hAnsi="Simplified Arabic" w:cs="Simplified Arabic" w:hint="cs"/>
          <w:sz w:val="28"/>
          <w:szCs w:val="28"/>
          <w:rtl/>
        </w:rPr>
        <w:t>,</w:t>
      </w:r>
      <w:r w:rsidRPr="005B420F">
        <w:rPr>
          <w:rFonts w:ascii="Simplified Arabic" w:hAnsi="Simplified Arabic" w:cs="Simplified Arabic"/>
          <w:sz w:val="28"/>
          <w:szCs w:val="28"/>
          <w:rtl/>
        </w:rPr>
        <w:t>000) طفل/ة، و(7,000) امرأة. ووصل عدد المفقودين إلى قرابة (7,000) شخص، في حين بلغ عدد المصابين أكثر من (58,926) مصاباً/ة. كما وصل عدد الشهداء في الضفة الغربية إلى أكثر من (338) شهيداً/ة.</w:t>
      </w:r>
    </w:p>
    <w:p w14:paraId="7AD38792" w14:textId="77777777" w:rsidR="00581679" w:rsidRPr="005B420F" w:rsidRDefault="00581679" w:rsidP="00581679">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5B420F">
        <w:rPr>
          <w:rFonts w:ascii="Simplified Arabic" w:hAnsi="Simplified Arabic" w:cs="Simplified Arabic"/>
          <w:b/>
          <w:bCs/>
          <w:sz w:val="28"/>
          <w:szCs w:val="28"/>
          <w:rtl/>
        </w:rPr>
        <w:t>المستشفيات والمراكز الصحية</w:t>
      </w:r>
      <w:bookmarkStart w:id="12" w:name="_Hlk149126991"/>
      <w:bookmarkEnd w:id="9"/>
      <w:bookmarkEnd w:id="10"/>
    </w:p>
    <w:p w14:paraId="2004E294"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تعرض المستشفى الأوروبي في خانيونس للقصف بطائرات بدون طيار، كما يتعرض مستشفى الأقصى في دير البلح أيضاً إلى القصف، وهو المستشفى الوحيد العامل في المنطقة الوسطى من قطاع غزة.</w:t>
      </w:r>
    </w:p>
    <w:p w14:paraId="76750906"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ورفضت "إسرائيل" طلبات مؤسسات الإغاثة الإنسانية، مثل مكتب تنسيق الشؤون الإنسانية ومنظمة الصحة العالمية لتوصيل إمدادات طبية عاجلة إلى مستودع الأدوية المركزي في مدينة غزة، ومستشفى العودة في جباليا، بالإضافة إلى إلغاء الاحتلال لبعثات مخطط لها لتوصيل الوقود الحيوي إلى مرافق المياه والصرف الصحي في غزة المدينة والشمال هذا هو الرفض الخامس لبعثة مستشفى العودة في جباليا ومستودع الأدوية المركزي في مدينة غزة منذ 26/كانون الأول الماضي، مما أدى إلى حرمان (5) مستشفيات في شمال غزة من إمكانية الوصول إلى الإمدادات والمعدات الطبية المنقذة للحياة. </w:t>
      </w:r>
    </w:p>
    <w:p w14:paraId="02E83367" w14:textId="77777777" w:rsidR="00581679" w:rsidRPr="005B420F" w:rsidRDefault="00581679" w:rsidP="00581679">
      <w:pPr>
        <w:spacing w:before="120" w:after="120"/>
        <w:jc w:val="both"/>
        <w:rPr>
          <w:rFonts w:ascii="Simplified Arabic" w:hAnsi="Simplified Arabic" w:cs="Simplified Arabic"/>
          <w:sz w:val="28"/>
          <w:szCs w:val="28"/>
        </w:rPr>
      </w:pPr>
      <w:r w:rsidRPr="005B420F">
        <w:rPr>
          <w:rFonts w:ascii="Simplified Arabic" w:hAnsi="Simplified Arabic" w:cs="Simplified Arabic"/>
          <w:sz w:val="28"/>
          <w:szCs w:val="28"/>
          <w:rtl/>
        </w:rPr>
        <w:t xml:space="preserve">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w:t>
      </w:r>
      <w:r w:rsidRPr="005B420F">
        <w:rPr>
          <w:rFonts w:ascii="Simplified Arabic" w:hAnsi="Simplified Arabic" w:cs="Simplified Arabic"/>
          <w:sz w:val="28"/>
          <w:szCs w:val="28"/>
          <w:rtl/>
        </w:rPr>
        <w:lastRenderedPageBreak/>
        <w:t>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2108B296" w14:textId="77777777" w:rsidR="00581679" w:rsidRPr="005B420F" w:rsidRDefault="00581679" w:rsidP="00581679">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5B420F">
        <w:rPr>
          <w:rFonts w:ascii="Simplified Arabic" w:hAnsi="Simplified Arabic" w:cs="Simplified Arabic"/>
          <w:b/>
          <w:bCs/>
          <w:sz w:val="28"/>
          <w:szCs w:val="28"/>
          <w:rtl/>
        </w:rPr>
        <w:t>الماء والنظافة</w:t>
      </w:r>
    </w:p>
    <w:p w14:paraId="65B7F8DD" w14:textId="77777777" w:rsidR="00581679" w:rsidRPr="005B420F" w:rsidRDefault="00581679" w:rsidP="00581679">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5B420F">
        <w:rPr>
          <w:rFonts w:ascii="Simplified Arabic" w:hAnsi="Simplified Arabic" w:cs="Simplified Arabic"/>
          <w:sz w:val="28"/>
          <w:szCs w:val="28"/>
          <w:rtl/>
        </w:rPr>
        <w:t>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5DD314FE"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3"/>
    <w:bookmarkEnd w:id="14"/>
    <w:p w14:paraId="05D944E5" w14:textId="77777777" w:rsidR="00581679" w:rsidRPr="005B420F" w:rsidRDefault="00581679" w:rsidP="00581679">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5B420F">
        <w:rPr>
          <w:rFonts w:ascii="Simplified Arabic" w:hAnsi="Simplified Arabic" w:cs="Simplified Arabic"/>
          <w:b/>
          <w:bCs/>
          <w:sz w:val="28"/>
          <w:szCs w:val="28"/>
          <w:rtl/>
        </w:rPr>
        <w:t>الأمن الغذائي</w:t>
      </w:r>
      <w:bookmarkEnd w:id="15"/>
    </w:p>
    <w:bookmarkEnd w:id="16"/>
    <w:p w14:paraId="7B34B8E3"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30A5E968"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lastRenderedPageBreak/>
        <w:t>وصرح المدير التنفيذي "لليونيسف"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67F807E1"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5B420F">
        <w:rPr>
          <w:rFonts w:ascii="Simplified Arabic" w:hAnsi="Simplified Arabic" w:cs="Simplified Arabic"/>
          <w:sz w:val="28"/>
          <w:szCs w:val="28"/>
        </w:rPr>
        <w:t>IPC</w:t>
      </w:r>
      <w:r w:rsidRPr="005B420F">
        <w:rPr>
          <w:rFonts w:ascii="Simplified Arabic" w:hAnsi="Simplified Arabic" w:cs="Simplified Arabic"/>
          <w:sz w:val="28"/>
          <w:szCs w:val="28"/>
          <w:rtl/>
        </w:rPr>
        <w:t>).</w:t>
      </w:r>
    </w:p>
    <w:p w14:paraId="31533F6C"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61B4CF4D" w14:textId="77777777" w:rsidR="00581679" w:rsidRPr="005B420F" w:rsidRDefault="00581679" w:rsidP="00581679">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5B420F">
        <w:rPr>
          <w:rFonts w:ascii="Simplified Arabic" w:hAnsi="Simplified Arabic" w:cs="Simplified Arabic"/>
          <w:b/>
          <w:bCs/>
          <w:sz w:val="28"/>
          <w:szCs w:val="28"/>
          <w:rtl/>
        </w:rPr>
        <w:t>النزوح الداخلي</w:t>
      </w:r>
      <w:bookmarkStart w:id="17" w:name="_Hlk148261906"/>
      <w:bookmarkEnd w:id="11"/>
    </w:p>
    <w:p w14:paraId="7081983C"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36BA18C7"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وفي أعقاب تكثيف القصف والتوغل في خانيونس ودير البلح، وأوامر الإخلاء التي أصدرها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5B420F">
        <w:rPr>
          <w:rFonts w:hint="cs"/>
          <w:sz w:val="28"/>
          <w:szCs w:val="28"/>
          <w:rtl/>
        </w:rPr>
        <w:t>​​</w:t>
      </w:r>
      <w:r w:rsidRPr="005B420F">
        <w:rPr>
          <w:rFonts w:ascii="Simplified Arabic" w:hAnsi="Simplified Arabic" w:cs="Simplified Arabic"/>
          <w:sz w:val="28"/>
          <w:szCs w:val="28"/>
          <w:rtl/>
        </w:rPr>
        <w:t>الذي يمنع التحقق.</w:t>
      </w:r>
    </w:p>
    <w:p w14:paraId="1C556230"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w:t>
      </w:r>
      <w:r w:rsidRPr="005B420F">
        <w:rPr>
          <w:rFonts w:ascii="Simplified Arabic" w:hAnsi="Simplified Arabic" w:cs="Simplified Arabic"/>
          <w:sz w:val="28"/>
          <w:szCs w:val="28"/>
          <w:rtl/>
        </w:rPr>
        <w:lastRenderedPageBreak/>
        <w:t>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12A48164" w14:textId="77777777" w:rsidR="00581679" w:rsidRPr="005B420F" w:rsidRDefault="00581679" w:rsidP="00581679">
      <w:pPr>
        <w:spacing w:before="120" w:after="120"/>
        <w:jc w:val="both"/>
        <w:rPr>
          <w:rFonts w:ascii="Simplified Arabic" w:hAnsi="Simplified Arabic" w:cs="Simplified Arabic"/>
          <w:sz w:val="28"/>
          <w:szCs w:val="28"/>
          <w:rtl/>
        </w:rPr>
      </w:pPr>
      <w:r w:rsidRPr="005B420F">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4C048469" w14:textId="77777777" w:rsidR="00581679" w:rsidRPr="005B420F" w:rsidRDefault="00581679" w:rsidP="00581679">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5B420F">
        <w:rPr>
          <w:rFonts w:ascii="Simplified Arabic" w:hAnsi="Simplified Arabic" w:cs="Simplified Arabic"/>
          <w:b/>
          <w:bCs/>
          <w:sz w:val="28"/>
          <w:szCs w:val="28"/>
          <w:rtl/>
        </w:rPr>
        <w:t>الأضرار العينية</w:t>
      </w:r>
    </w:p>
    <w:p w14:paraId="64589AFE" w14:textId="77777777" w:rsidR="00581679" w:rsidRPr="005B420F" w:rsidRDefault="00581679" w:rsidP="00581679">
      <w:pPr>
        <w:tabs>
          <w:tab w:val="right" w:pos="90"/>
        </w:tabs>
        <w:spacing w:before="120" w:after="120"/>
        <w:contextualSpacing/>
        <w:jc w:val="both"/>
        <w:rPr>
          <w:rFonts w:ascii="Simplified Arabic" w:hAnsi="Simplified Arabic" w:cs="Simplified Arabic"/>
          <w:sz w:val="28"/>
          <w:szCs w:val="28"/>
          <w:rtl/>
        </w:rPr>
      </w:pPr>
      <w:bookmarkStart w:id="18" w:name="_Hlk152580858"/>
      <w:bookmarkStart w:id="19" w:name="_Hlk149304309"/>
      <w:r w:rsidRPr="005B420F">
        <w:rPr>
          <w:rFonts w:ascii="Simplified Arabic" w:hAnsi="Simplified Arabic" w:cs="Simplified Arabic"/>
          <w:sz w:val="28"/>
          <w:szCs w:val="28"/>
          <w:rtl/>
        </w:rPr>
        <w:t>تشير المعلومات الصادرة عن المكتب الإعلامي الحكومي في غزة بتاريخ 07/كانون الثاني الحالي، بأن عدد الوحدات السكنية المدمرة بشكل كلي بلغ حوالي (69,000) وحدة سكنية، في حين بلغ عدد الوحدات السكنية التي دمرها الاحتلال بشكل جزئي قرابة (290,000) وحدة سكنية. كما بلغ عدد المدارس والجامعات التي دمرها الاحتلال بشكل كلي (94)، وبلغ عدد المدمر منها بشكل جزئي حوالي (295) مدرسة ومبنى جامعي. وبلغ عدد المستشفيات التي أخرجها الاحتلال عن الخدمة بشكل كلي (23) مستشفى، و(53) مركزياً صحياً، و(121) مركبات اسعاف. ودمر بشكل جزئي (150) مؤسسة صحية. وبلغ عدد المواقع الأثرية والتراثية التي دمرها جيش الاحتلال في قطاع غزة قرابة (200) موقع.</w:t>
      </w:r>
      <w:bookmarkEnd w:id="18"/>
    </w:p>
    <w:p w14:paraId="363EDCDD" w14:textId="77777777" w:rsidR="00581679" w:rsidRPr="005B420F" w:rsidRDefault="00581679" w:rsidP="00581679">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5B420F">
        <w:rPr>
          <w:rFonts w:ascii="Simplified Arabic" w:hAnsi="Simplified Arabic" w:cs="Simplified Arabic"/>
          <w:b/>
          <w:bCs/>
          <w:sz w:val="28"/>
          <w:szCs w:val="28"/>
          <w:rtl/>
        </w:rPr>
        <w:t>الاعتداءات في الضفة الغربية</w:t>
      </w:r>
      <w:bookmarkEnd w:id="17"/>
    </w:p>
    <w:p w14:paraId="24ABD4EA" w14:textId="77777777" w:rsidR="00581679" w:rsidRPr="005B420F" w:rsidRDefault="00581679" w:rsidP="00581679">
      <w:pPr>
        <w:pStyle w:val="ListParagraph"/>
        <w:bidi/>
        <w:spacing w:before="120" w:after="120" w:line="240" w:lineRule="auto"/>
        <w:ind w:left="0"/>
        <w:rPr>
          <w:rFonts w:ascii="Simplified Arabic" w:hAnsi="Simplified Arabic" w:cs="Simplified Arabic"/>
          <w:sz w:val="28"/>
          <w:szCs w:val="28"/>
          <w:lang w:bidi="ar-JO"/>
        </w:rPr>
      </w:pPr>
      <w:r w:rsidRPr="005B420F">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F13EB8C" w14:textId="77777777" w:rsidR="00581679" w:rsidRPr="005B420F" w:rsidRDefault="00581679" w:rsidP="0058167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5B420F">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5B420F">
          <w:rPr>
            <w:rStyle w:val="Hyperlink"/>
            <w:rFonts w:ascii="Simplified Arabic" w:hAnsi="Simplified Arabic" w:cs="Simplified Arabic"/>
            <w:sz w:val="28"/>
            <w:szCs w:val="28"/>
            <w:rtl/>
          </w:rPr>
          <w:t>تقرير</w:t>
        </w:r>
      </w:hyperlink>
      <w:r w:rsidRPr="005B420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6A405231" w14:textId="77777777" w:rsidR="00581679" w:rsidRPr="005B420F" w:rsidRDefault="00581679" w:rsidP="0058167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5B420F">
          <w:rPr>
            <w:rStyle w:val="Hyperlink"/>
            <w:rFonts w:ascii="Simplified Arabic" w:hAnsi="Simplified Arabic" w:cs="Simplified Arabic"/>
            <w:sz w:val="28"/>
            <w:szCs w:val="28"/>
            <w:rtl/>
          </w:rPr>
          <w:t>صرحت</w:t>
        </w:r>
      </w:hyperlink>
      <w:r w:rsidRPr="005B420F">
        <w:rPr>
          <w:rFonts w:ascii="Simplified Arabic" w:hAnsi="Simplified Arabic" w:cs="Simplified Arabic"/>
          <w:sz w:val="28"/>
          <w:szCs w:val="28"/>
          <w:rtl/>
        </w:rPr>
        <w:t xml:space="preserve">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w:t>
      </w:r>
      <w:r w:rsidRPr="005B420F">
        <w:rPr>
          <w:rFonts w:ascii="Simplified Arabic" w:hAnsi="Simplified Arabic" w:cs="Simplified Arabic"/>
          <w:sz w:val="28"/>
          <w:szCs w:val="28"/>
          <w:rtl/>
        </w:rPr>
        <w:lastRenderedPageBreak/>
        <w:t>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09E1737" w14:textId="77777777" w:rsidR="00581679" w:rsidRPr="005B420F" w:rsidRDefault="00581679" w:rsidP="0058167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5B420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B420F">
        <w:rPr>
          <w:rFonts w:ascii="Simplified Arabic" w:hAnsi="Simplified Arabic" w:cs="Simplified Arabic"/>
          <w:sz w:val="28"/>
          <w:szCs w:val="28"/>
        </w:rPr>
        <w:t>H2</w:t>
      </w:r>
      <w:r w:rsidRPr="005B420F">
        <w:rPr>
          <w:rFonts w:ascii="Simplified Arabic" w:hAnsi="Simplified Arabic" w:cs="Simplified Arabic"/>
          <w:sz w:val="28"/>
          <w:szCs w:val="28"/>
          <w:rtl/>
          <w:lang w:bidi="ar-JO"/>
        </w:rPr>
        <w:t>) في مدينة الخليل،</w:t>
      </w:r>
      <w:r w:rsidRPr="005B420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B420F">
        <w:rPr>
          <w:rFonts w:ascii="Simplified Arabic" w:hAnsi="Simplified Arabic" w:cs="Simplified Arabic"/>
          <w:sz w:val="28"/>
          <w:szCs w:val="28"/>
          <w:rtl/>
        </w:rPr>
        <w:t>السواتر</w:t>
      </w:r>
      <w:proofErr w:type="spellEnd"/>
      <w:r w:rsidRPr="005B420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BED64A9" w14:textId="77777777" w:rsidR="00581679" w:rsidRPr="005B420F" w:rsidRDefault="00581679" w:rsidP="00581679">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B420F">
        <w:rPr>
          <w:rFonts w:ascii="Simplified Arabic" w:hAnsi="Simplified Arabic" w:cs="Simplified Arabic"/>
          <w:sz w:val="28"/>
          <w:szCs w:val="28"/>
          <w:rtl/>
        </w:rPr>
        <w:t>يواجهها</w:t>
      </w:r>
      <w:proofErr w:type="spellEnd"/>
      <w:r w:rsidRPr="005B420F">
        <w:rPr>
          <w:rFonts w:ascii="Simplified Arabic" w:hAnsi="Simplified Arabic" w:cs="Simplified Arabic"/>
          <w:sz w:val="28"/>
          <w:szCs w:val="28"/>
          <w:rtl/>
        </w:rPr>
        <w:t xml:space="preserve"> المحامون المختصون في زيارة السّجون.</w:t>
      </w:r>
    </w:p>
    <w:p w14:paraId="2D3B6C68" w14:textId="77777777" w:rsidR="00581679" w:rsidRPr="005B420F" w:rsidRDefault="00581679" w:rsidP="00581679">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B420F">
        <w:rPr>
          <w:rFonts w:ascii="Simplified Arabic" w:hAnsi="Simplified Arabic" w:cs="Simplified Arabic"/>
          <w:sz w:val="28"/>
          <w:szCs w:val="28"/>
        </w:rPr>
        <w:t>.</w:t>
      </w:r>
    </w:p>
    <w:p w14:paraId="5BBA906C" w14:textId="77777777" w:rsidR="00581679" w:rsidRPr="005B420F" w:rsidRDefault="00581679" w:rsidP="00581679">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5B420F">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 كما تم تهجير ما مجموعه (422) فلسطينيًا، من بينهم (217) طفلاً، بعد هدم منازلهم بسبب عدم وجود تصاريح إسرائيلية في المنطقة (ج) والقدس الشرقية. وأيضاً تم هدم ما مجموعه (19) منزلاً لأسباب عقابية (عقاب جماعي) مما أدى إلى تهجير (95) فلسطينياً، من بينهم (42) طفلاً. وتم تهجير (537) فلسطينياً، من بينهم (238) طفلاً، بعد تدمير (82) مبنى سكنياً خلال عمليات الاقتحام الذي يقوم بها جيش الاحتلال في مختلف أنحاء الضفة الغربية.</w:t>
      </w:r>
    </w:p>
    <w:bookmarkEnd w:id="20"/>
    <w:p w14:paraId="1F435362" w14:textId="77777777" w:rsidR="00581679" w:rsidRPr="005B420F" w:rsidRDefault="00581679" w:rsidP="00581679">
      <w:pPr>
        <w:numPr>
          <w:ilvl w:val="0"/>
          <w:numId w:val="8"/>
        </w:numPr>
        <w:spacing w:before="120" w:after="120"/>
        <w:ind w:left="0" w:firstLine="0"/>
        <w:contextualSpacing/>
        <w:jc w:val="both"/>
        <w:rPr>
          <w:rFonts w:ascii="Simplified Arabic" w:hAnsi="Simplified Arabic" w:cs="Simplified Arabic"/>
          <w:sz w:val="28"/>
          <w:szCs w:val="28"/>
        </w:rPr>
      </w:pPr>
      <w:r w:rsidRPr="005B420F">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(386) هجوماً شنها المستوطنون ضد السكان المدنيين مما أدى إلى وقوع إصابات بينهم في (37) حادثة منها، وإلحاق أضرار بالممتلكات الفلسطينية في (302) حادثة منها، ووقوع إصابات وأضرار في الممتلكات في (48) حادثة منها. </w:t>
      </w:r>
    </w:p>
    <w:p w14:paraId="74E28966" w14:textId="77777777" w:rsidR="00581679" w:rsidRPr="005B420F" w:rsidRDefault="00581679" w:rsidP="00581679">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r w:rsidRPr="005B420F">
        <w:rPr>
          <w:rFonts w:ascii="Simplified Arabic" w:hAnsi="Simplified Arabic" w:cs="Simplified Arabic"/>
          <w:sz w:val="28"/>
          <w:szCs w:val="28"/>
          <w:rtl/>
        </w:rPr>
        <w:t xml:space="preserve">منذ بداية العدوان الحربي وحتى تاريخه اعتقلت القوة القائمة بالاحتلال قرابة (5,730) شخصاً. </w:t>
      </w:r>
    </w:p>
    <w:p w14:paraId="31BE141A" w14:textId="77777777" w:rsidR="00581679" w:rsidRPr="005B420F" w:rsidRDefault="00581679" w:rsidP="00581679">
      <w:pPr>
        <w:tabs>
          <w:tab w:val="right" w:pos="90"/>
        </w:tabs>
        <w:spacing w:before="120" w:after="120"/>
        <w:jc w:val="center"/>
        <w:rPr>
          <w:rFonts w:ascii="Simplified Arabic" w:hAnsi="Simplified Arabic" w:cs="Simplified Arabic"/>
          <w:sz w:val="28"/>
          <w:szCs w:val="28"/>
        </w:rPr>
      </w:pPr>
      <w:r w:rsidRPr="005B420F">
        <w:rPr>
          <w:rFonts w:ascii="Simplified Arabic" w:hAnsi="Simplified Arabic" w:cs="Simplified Arabic"/>
          <w:b/>
          <w:bCs/>
          <w:sz w:val="28"/>
          <w:szCs w:val="28"/>
          <w:rtl/>
        </w:rPr>
        <w:t>-انتهى-</w:t>
      </w:r>
    </w:p>
    <w:p w14:paraId="3FFE9BF6" w14:textId="77777777" w:rsidR="00026EB7" w:rsidRPr="00026EB7" w:rsidRDefault="00026EB7" w:rsidP="00026EB7">
      <w:pPr>
        <w:bidi w:val="0"/>
        <w:jc w:val="center"/>
        <w:rPr>
          <w:rFonts w:ascii="Simplified Arabic" w:hAnsi="Simplified Arabic" w:cs="Simplified Arabic"/>
          <w:b/>
          <w:bCs/>
          <w:sz w:val="28"/>
          <w:szCs w:val="28"/>
          <w:rtl/>
          <w:lang w:bidi="ar-JO"/>
        </w:rPr>
      </w:pPr>
    </w:p>
    <w:sectPr w:rsidR="00026EB7" w:rsidRPr="00026EB7"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E3A46" w14:textId="77777777" w:rsidR="00161514" w:rsidRDefault="00161514" w:rsidP="00DE708D">
      <w:r>
        <w:separator/>
      </w:r>
    </w:p>
  </w:endnote>
  <w:endnote w:type="continuationSeparator" w:id="0">
    <w:p w14:paraId="7A48D15B" w14:textId="77777777" w:rsidR="00161514" w:rsidRDefault="00161514"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71B37" w14:textId="77777777" w:rsidR="00161514" w:rsidRDefault="00161514" w:rsidP="00DE708D">
      <w:r>
        <w:separator/>
      </w:r>
    </w:p>
  </w:footnote>
  <w:footnote w:type="continuationSeparator" w:id="0">
    <w:p w14:paraId="25350FF2" w14:textId="77777777" w:rsidR="00161514" w:rsidRDefault="00161514" w:rsidP="00DE708D">
      <w:r>
        <w:continuationSeparator/>
      </w:r>
    </w:p>
  </w:footnote>
  <w:footnote w:id="1">
    <w:p w14:paraId="641601A2" w14:textId="77777777" w:rsidR="00581679" w:rsidRPr="00F711DC" w:rsidRDefault="00581679" w:rsidP="0058167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1514"/>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81679"/>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2024-01-10T11:25:00Z</dcterms:created>
  <dcterms:modified xsi:type="dcterms:W3CDTF">2024-01-10T11:25:00Z</dcterms:modified>
</cp:coreProperties>
</file>